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720" w:firstLineChars="200"/>
        <w:jc w:val="both"/>
        <w:rPr>
          <w:rFonts w:ascii="方正小标宋简体" w:hAnsi="黑体" w:eastAsia="方正小标宋简体" w:cs="黑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hAnsi="黑体" w:eastAsia="方正小标宋简体" w:cs="黑体"/>
          <w:color w:val="000000" w:themeColor="text1"/>
          <w:sz w:val="36"/>
          <w:szCs w:val="36"/>
        </w:rPr>
        <w:pict>
          <v:group id="_x0000_s1026" o:spid="_x0000_s1026" o:spt="203" style="position:absolute;left:0pt;margin-left:-5.1pt;margin-top:-5.45pt;height:186.45pt;width:451.5pt;z-index:251658240;mso-width-relative:page;mso-height-relative:page;" coordorigin="1440,1641" coordsize="9030,3729">
            <o:lock v:ext="edit"/>
            <v:shape id="_x0000_s1027" o:spid="_x0000_s1027" o:spt="136" type="#_x0000_t136" style="position:absolute;left:1626;top:1641;height:1644;width:8715;" fillcolor="#EA0000" filled="t" stroked="t" coordsize="21600,21600">
              <v:path/>
              <v:fill on="t" focussize="0,0"/>
              <v:stroke color="#EA0000"/>
              <v:imagedata o:title=""/>
              <o:lock v:ext="edit"/>
              <v:textpath on="t" fitshape="t" fitpath="t" trim="t" xscale="f" string="共青团泰山学院委员会文件" style="font-family:方正小标宋简体;font-size:36pt;v-text-align:center;v-text-spacing:78650f;"/>
            </v:shape>
            <v:group id="_x0000_s1028" o:spid="_x0000_s1028" o:spt="203" style="position:absolute;left:1440;top:5025;height:345;width:9030;" coordorigin="1440,5025" coordsize="9030,345">
              <o:lock v:ext="edit"/>
              <v:shape id="_x0000_s1029" o:spid="_x0000_s1029" o:spt="32" type="#_x0000_t32" style="position:absolute;left:1440;top:5190;height:0;width:4140;" o:connectortype="straight" filled="f" stroked="t" coordsize="21600,21600">
                <v:path arrowok="t"/>
                <v:fill on="f" focussize="0,0"/>
                <v:stroke weight="2pt" color="#FF0000"/>
                <v:imagedata o:title=""/>
                <o:lock v:ext="edit"/>
              </v:shape>
              <v:shape id="_x0000_s1030" o:spid="_x0000_s1030" o:spt="32" type="#_x0000_t32" style="position:absolute;left:6330;top:5190;height:0;width:4140;" o:connectortype="straight" filled="f" stroked="t" coordsize="21600,21600">
                <v:path arrowok="t"/>
                <v:fill on="f" focussize="0,0"/>
                <v:stroke weight="2pt" color="#FF0000"/>
                <v:imagedata o:title=""/>
                <o:lock v:ext="edit"/>
              </v:shape>
              <v:shape id="_x0000_s1031" o:spid="_x0000_s1031" o:spt="12" type="#_x0000_t12" style="position:absolute;left:5790;top:5025;height:345;width:360;" fillcolor="#FF0000" filled="t" stroked="t" coordsize="21600,21600">
                <v:path/>
                <v:fill on="t" focussize="0,0"/>
                <v:stroke color="#FF0000" joinstyle="miter"/>
                <v:imagedata o:title=""/>
                <o:lock v:ext="edit"/>
              </v:shape>
            </v:group>
          </v:group>
        </w:pict>
      </w:r>
    </w:p>
    <w:p>
      <w:pPr>
        <w:widowControl w:val="0"/>
        <w:spacing w:after="0" w:line="560" w:lineRule="exact"/>
        <w:ind w:firstLine="720" w:firstLineChars="200"/>
        <w:jc w:val="both"/>
        <w:rPr>
          <w:rFonts w:ascii="方正小标宋简体" w:hAnsi="黑体" w:eastAsia="方正小标宋简体" w:cs="黑体"/>
          <w:color w:val="000000" w:themeColor="text1"/>
          <w:sz w:val="36"/>
          <w:szCs w:val="36"/>
          <w:shd w:val="clear" w:color="auto" w:fill="FFFFFF"/>
        </w:rPr>
      </w:pPr>
    </w:p>
    <w:p>
      <w:pPr>
        <w:widowControl w:val="0"/>
        <w:spacing w:after="0" w:line="560" w:lineRule="exact"/>
        <w:ind w:firstLine="720" w:firstLineChars="200"/>
        <w:jc w:val="both"/>
        <w:rPr>
          <w:rFonts w:ascii="方正小标宋简体" w:hAnsi="黑体" w:eastAsia="方正小标宋简体" w:cs="黑体"/>
          <w:color w:val="000000" w:themeColor="text1"/>
          <w:sz w:val="36"/>
          <w:szCs w:val="36"/>
          <w:shd w:val="clear" w:color="auto" w:fill="FFFFFF"/>
        </w:rPr>
      </w:pPr>
    </w:p>
    <w:p>
      <w:pPr>
        <w:widowControl w:val="0"/>
        <w:spacing w:after="0" w:line="560" w:lineRule="exact"/>
        <w:ind w:firstLine="200"/>
        <w:jc w:val="both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widowControl w:val="0"/>
        <w:spacing w:after="0" w:line="560" w:lineRule="exact"/>
        <w:ind w:firstLine="200"/>
        <w:jc w:val="both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widowControl w:val="0"/>
        <w:spacing w:after="0" w:line="560" w:lineRule="exact"/>
        <w:ind w:firstLine="200"/>
        <w:jc w:val="center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泰院团字[2021]1号</w:t>
      </w:r>
    </w:p>
    <w:p>
      <w:pPr>
        <w:widowControl w:val="0"/>
        <w:spacing w:after="0" w:line="560" w:lineRule="exact"/>
        <w:ind w:firstLine="200"/>
        <w:jc w:val="both"/>
        <w:rPr>
          <w:rFonts w:ascii="华文中宋" w:hAnsi="华文中宋" w:eastAsia="华文中宋" w:cs="Times New Roman"/>
          <w:b/>
          <w:color w:val="000000" w:themeColor="text1"/>
          <w:sz w:val="44"/>
          <w:szCs w:val="44"/>
        </w:rPr>
      </w:pPr>
    </w:p>
    <w:p>
      <w:pPr>
        <w:widowControl w:val="0"/>
        <w:spacing w:after="0" w:line="560" w:lineRule="exact"/>
        <w:ind w:firstLine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bidi="zh-CN"/>
        </w:rPr>
        <w:t>泰山学院团委20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bidi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bidi="zh-CN"/>
        </w:rPr>
        <w:t>1年工作要点</w:t>
      </w:r>
    </w:p>
    <w:p>
      <w:pPr>
        <w:widowControl w:val="0"/>
        <w:spacing w:after="0" w:line="560" w:lineRule="exact"/>
        <w:ind w:firstLine="200"/>
        <w:jc w:val="center"/>
        <w:rPr>
          <w:rFonts w:ascii="方正小标宋简体" w:hAnsi="华文中宋" w:eastAsia="方正小标宋简体" w:cs="Times New Roman"/>
          <w:bCs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以学习宣传贯彻习近平新时代中国特色社会主义思想为主线，以泰山学院新时代德育系统工程为统领，围绕应用型本科高校建设任务，坚持立德树人，聚焦助力乡村振兴、助推“双招双引”、服务创新创业、促进青年发展四项主要任务，强化全面从严治团这一工作保障，久久为功，狠抓落实，团结带领团员青年以更加奋进的姿态和优异的成绩庆祝建党 100 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/>
        <w:jc w:val="both"/>
        <w:textAlignment w:val="auto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一、聚焦思想政治教育，提升引领力。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1、集中开展庆祝建党 100 周年主题宣传教育活动，用中国共产党百年辉煌历程教育引导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团员青年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听党话、跟党走。以学习宣传贯彻党的十九届五中全会精神为统领，加强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团员青年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党史教育。弘扬伟大抗疫精神和脱贫攻坚精神，引导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团员青年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增强“四个意识”、坚定“四个自信”、 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、擦亮“青年马克思主义者培养工程”品牌，深化实施“青马工程”，开展校院两级培训。用习近平新时代中国特色社会主义思想武装学员，突出理想信念教育，注重实践导向，引导青年深入社会基层学习锻炼，以实际行动庆祝中国共产党成立100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3、深入学习宣传贯彻习近平新时代中国特色社会主义思想。加强团校建设，坚持“四进四信”活动，推进习近平新时代中国特色社会主义思想、党的十九届五中全会精神和共青团十八大精神进支部、进团课、进社团、进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4、大力培育和践行社会主义核心价值观。引导广大青年学生深入学习社会主义核心价值观，创新活动载体，选树优秀典型，引导青年学生成长为具有坚定文化自信和价值操守的新一代。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5、持续推进“青年大学习”。将“青年大学习”网上主题团课作为“三会两制一课”等团的组织生活的重要方面，与支部团日活动、团干部讲团课等工作有机融合，推动建立常态化学习机制。将思想引领贯穿于团的工作和活动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6、切实加强团属新媒体的思想政治引领。加强校院团学组织的网站、微信、微博建设和监督管理工作。依托青年大学习平台，加强团员青年的理论学习和思想引领，做好主题教育和网上思想引领工作。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7、防范意识形态领域风险。坚持教育感化原则，常态化开展信教团员教育转化工作，减少宗教对大学生的影响。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二、聚焦全面从严治团，提升组织力。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、落实高校共青团改革要求，贯彻《深化学校共青团改革的若干措施》精神，推进学生会、学生社团改革，按期规范召开学代会;加强学生社团及其成员的规范管理和分类指导，严格活动审批，清理整顿不合格社团，党员指导老师全部配备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2、加强团学干部作风建设，健全团学干部广泛联系同学、听取意见制度和监督约束机制;当好表达学生利益诉求的信息员，及时向学校有关部门反馈来自一线学生的声音，为学校决策提供参考。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3、规范团学组织建设，严格团员发展管理。落实“一切到支部”理念，突出团支部的引领主导作用，持续开展规范化建设。明晰“班团职能”，选拔、培养、使用好团支部书记，实施“团支部活力”提升工程，把“推优入党”作为团支部履行政治功能的重要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4、加强网上团学组织建设，实现组织和工作信息化。积极建设网上学校共青团。建设好各级团学组织微信、微博、网站，开辟QQ智慧校园、QQ空间等新阵地。依托“智慧团建”系统做好信息录入、组织规范和“学社衔接”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5、选树优秀共青团典型，做好共青团常规评优工作、十佳百星评选；开展“泰山学院优秀青年工作者”评选活动；做好社团考核达标及评优工作。“五四”期间召开共青团工作表彰大会，切实发挥榜样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三、聚焦学生成长发展，提升服务力。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、加强大学生创新创业学院建设，稳步推进“第二课堂成绩单”制度实施。抓好创新创业导师制度建设、课程建设、及大学生科技团队建设，扩大线上课程、活动数量,在2020级学生中试行“第二课堂成绩单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、丰富“青鸟计划”活动。密切与学校招生就业部门配合，加强与市县团组织联系合作，分年级开展就业观教育、就业技能培养、实习实践，促进人岗精准对接，开展毕业生结对帮扶工作，大力推进服务青年就业创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3、以“互联网+”、“创青春”、“挑战杯”等大学生创新、创业、科技大赛为龙头，全面推进“金钥匙计划”。严格各项大赛参赛审批手续和评优奖励程序，举办校内创新创业培训及选拔赛，不断提高青年科研素质和科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4、健全团学组织权益维护工作机制，帮扶好各类困难学生群体，及时收集、听取广大同学普遍诉求，及时跟进推动问题解决。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</w:rPr>
        <w:t>四、聚焦服务中心工作，提升大局贡献度。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1、广泛开展社会实践。提升高校共青团社会功能，统筹做好校地共建，发挥学校专业、资源等优势，引导大学生积极参与“三下乡”“返家乡”等工作项目，助力乡村振兴</w:t>
      </w:r>
      <w:r>
        <w:fldChar w:fldCharType="begin"/>
      </w:r>
      <w:r>
        <w:instrText xml:space="preserve"> HYPERLINK "关于进步加强新形势下高校共青团" \s "1,1734,1806,0,,主动融入地方区域化团建工作，建立大学生团员向社区(村)和"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集中组织开展大中专学生暑期文化科技卫生“三下乡”社会实践活动，设计重点项目，聚焦重点团队。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、开展志愿服务项目活动。完善志愿者活动运行机制，继续推进“三个一工程”。完善志愿者服务激励机制，选树优秀典型。引导大学生积极参与“希望小屋”工作项目，关心帮助困难学生群体，发挥参与公益项目对共青团员的实践教育作用，鼓励以“特殊团费”形式助力希望小屋。跟进做好后续帮扶关爱，促进实现从“小屋焕新”到“精神焕彩”。持续跟进精准帮扶、“阳光助残”等行动，多做扶贫济困、扶弱助残的实事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仿宋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3、大力活跃校园文化体育活动。推进“2211”校园文化品牌建设和实施周末文化工程，打造校园文化精品活动。打造特色工作品牌，重点打造1-2个服务项目，突出“团”字号、“青”字号品牌的育人功能，使更多大学生在团的活动中受教育、长才干。积极承办全国新兴领域青年群体泰山创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五、加强党建工作，规范内部管理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1、坚持党的理论知识的集体学习和个人学习的常态化。坚持“三会一课”制度，全面掌握学校团员学生的思想意识动态，强化思想政治引导。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2、强化党风廉政建设，严格落实主体责任。结合团委相关工作职能，层层压实责任，确保评优、评奖的公正。加强党风廉政建设，确保各项工作风清气正。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3、完善内控制度建设，提高内部管理规范化建设。明确服务管理流程，规范团委固定资产管理，完善管理台账制度，严格资产交接手续。加强团委经费的预算、决算，做到科学预算、科学执行决算，定期分析决算执行情况，提高经费使用的程序性和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六、加强理论研究，形成特色鲜明的实践理论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积极追踪共青团工作热点问题研究，组织力量申报团中央、团省委研究课题。探索成立共青团研究工作团队。积极宣传推广共青团工作好的经验和做法。</w:t>
      </w:r>
    </w:p>
    <w:p>
      <w:pPr>
        <w:spacing w:line="56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共青团</w:t>
      </w:r>
      <w:r>
        <w:rPr>
          <w:rFonts w:hint="eastAsia" w:ascii="仿宋" w:hAnsi="仿宋" w:eastAsia="仿宋"/>
          <w:sz w:val="32"/>
          <w:szCs w:val="32"/>
        </w:rPr>
        <w:t>泰山</w:t>
      </w:r>
      <w:r>
        <w:rPr>
          <w:rFonts w:ascii="仿宋" w:hAnsi="仿宋" w:eastAsia="仿宋"/>
          <w:sz w:val="32"/>
          <w:szCs w:val="32"/>
        </w:rPr>
        <w:t>学院委员会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　　　　　　　　　</w:t>
      </w:r>
      <w:r>
        <w:rPr>
          <w:rFonts w:hint="eastAsia" w:ascii="仿宋" w:hAnsi="仿宋" w:eastAsia="仿宋"/>
          <w:sz w:val="32"/>
          <w:szCs w:val="32"/>
        </w:rPr>
        <w:t xml:space="preserve">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</w:p>
    <w:p>
      <w:pPr>
        <w:adjustRightInd w:val="0"/>
        <w:snapToGrid w:val="0"/>
        <w:spacing w:before="156" w:beforeLines="50" w:line="288" w:lineRule="auto"/>
        <w:jc w:val="left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553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96D0B"/>
    <w:rsid w:val="00144EC2"/>
    <w:rsid w:val="001459EF"/>
    <w:rsid w:val="001779F3"/>
    <w:rsid w:val="001D0503"/>
    <w:rsid w:val="001E1E0D"/>
    <w:rsid w:val="002D67DE"/>
    <w:rsid w:val="00323248"/>
    <w:rsid w:val="00323B43"/>
    <w:rsid w:val="003604AF"/>
    <w:rsid w:val="003869FF"/>
    <w:rsid w:val="003D37D8"/>
    <w:rsid w:val="00426133"/>
    <w:rsid w:val="004358AB"/>
    <w:rsid w:val="00435EF6"/>
    <w:rsid w:val="004E4B68"/>
    <w:rsid w:val="00512E21"/>
    <w:rsid w:val="00530823"/>
    <w:rsid w:val="00532B4E"/>
    <w:rsid w:val="005952AE"/>
    <w:rsid w:val="005F1E28"/>
    <w:rsid w:val="00613216"/>
    <w:rsid w:val="00636C67"/>
    <w:rsid w:val="006922A4"/>
    <w:rsid w:val="006F6439"/>
    <w:rsid w:val="00705909"/>
    <w:rsid w:val="00731C5B"/>
    <w:rsid w:val="007342DC"/>
    <w:rsid w:val="00745021"/>
    <w:rsid w:val="007770F2"/>
    <w:rsid w:val="00782200"/>
    <w:rsid w:val="00786CD3"/>
    <w:rsid w:val="007E28C3"/>
    <w:rsid w:val="007E5E5A"/>
    <w:rsid w:val="007F7A0E"/>
    <w:rsid w:val="0080417B"/>
    <w:rsid w:val="008A3DA7"/>
    <w:rsid w:val="008B2792"/>
    <w:rsid w:val="008B7726"/>
    <w:rsid w:val="008C2283"/>
    <w:rsid w:val="00904953"/>
    <w:rsid w:val="00904DBF"/>
    <w:rsid w:val="0091590C"/>
    <w:rsid w:val="00925970"/>
    <w:rsid w:val="00952F8F"/>
    <w:rsid w:val="00974378"/>
    <w:rsid w:val="009827E7"/>
    <w:rsid w:val="009C7EA5"/>
    <w:rsid w:val="009E1ADE"/>
    <w:rsid w:val="00A42607"/>
    <w:rsid w:val="00AA5421"/>
    <w:rsid w:val="00AC0606"/>
    <w:rsid w:val="00B07F08"/>
    <w:rsid w:val="00B17EE0"/>
    <w:rsid w:val="00B23C05"/>
    <w:rsid w:val="00B76018"/>
    <w:rsid w:val="00BE06C6"/>
    <w:rsid w:val="00C34830"/>
    <w:rsid w:val="00C8618E"/>
    <w:rsid w:val="00CB45FA"/>
    <w:rsid w:val="00CC58F7"/>
    <w:rsid w:val="00D31D50"/>
    <w:rsid w:val="00D41953"/>
    <w:rsid w:val="00DA290D"/>
    <w:rsid w:val="00DF17DE"/>
    <w:rsid w:val="00E63721"/>
    <w:rsid w:val="00E710AE"/>
    <w:rsid w:val="00E854E8"/>
    <w:rsid w:val="00E97A87"/>
    <w:rsid w:val="00EA1566"/>
    <w:rsid w:val="00ED3217"/>
    <w:rsid w:val="00F05C8E"/>
    <w:rsid w:val="00F329C7"/>
    <w:rsid w:val="00FB3020"/>
    <w:rsid w:val="00FD4530"/>
    <w:rsid w:val="090A14F0"/>
    <w:rsid w:val="145E30CE"/>
    <w:rsid w:val="1E942192"/>
    <w:rsid w:val="1F2E27C0"/>
    <w:rsid w:val="238C497C"/>
    <w:rsid w:val="28352AC4"/>
    <w:rsid w:val="2D3F62F1"/>
    <w:rsid w:val="2ECC3142"/>
    <w:rsid w:val="3414464A"/>
    <w:rsid w:val="38E21ADA"/>
    <w:rsid w:val="38E24BCE"/>
    <w:rsid w:val="3D773394"/>
    <w:rsid w:val="482452D3"/>
    <w:rsid w:val="520733BF"/>
    <w:rsid w:val="53AA1F0E"/>
    <w:rsid w:val="582D3D6B"/>
    <w:rsid w:val="64FF09AD"/>
    <w:rsid w:val="75BA31D7"/>
    <w:rsid w:val="79BB6F48"/>
    <w:rsid w:val="7D5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9"/>
    <customShpInfo spid="_x0000_s1030"/>
    <customShpInfo spid="_x0000_s1031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406</Words>
  <Characters>2319</Characters>
  <Lines>19</Lines>
  <Paragraphs>5</Paragraphs>
  <TotalTime>1</TotalTime>
  <ScaleCrop>false</ScaleCrop>
  <LinksUpToDate>false</LinksUpToDate>
  <CharactersWithSpaces>2720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2021-03-08T00:19:00Z</cp:lastPrinted>
  <dcterms:modified xsi:type="dcterms:W3CDTF">2021-03-08T01:01:14Z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